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59" w:rsidRDefault="006A40F4" w:rsidP="00184F4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4819650</wp:posOffset>
            </wp:positionH>
            <wp:positionV relativeFrom="margin">
              <wp:posOffset>-857248</wp:posOffset>
            </wp:positionV>
            <wp:extent cx="1431290" cy="47371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" r="1175" b="36375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73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E59" w:rsidRDefault="00CD4E59" w:rsidP="00184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6A40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CD4E59" w:rsidRDefault="00CD4E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6A40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Fitopatologia - Universidade Federal de Viçosa</w:t>
      </w:r>
    </w:p>
    <w:p w:rsidR="00CD4E59" w:rsidRDefault="00CD4E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6A40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SEGUNDO PERÍODO LETIVO DE 2023</w:t>
      </w:r>
    </w:p>
    <w:p w:rsidR="00CD4E59" w:rsidRDefault="00CD4E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6A40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PARA AVALIAÇÃO DO CURRÍCULO LATTES OU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OS CANDIDATOS AO MESTRADO E DOUTORADO</w:t>
      </w:r>
    </w:p>
    <w:p w:rsidR="00CD4E59" w:rsidRDefault="006A40F4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Usar o arquivo .docx disponí</w:t>
      </w:r>
      <w:r>
        <w:rPr>
          <w:rFonts w:ascii="Times New Roman" w:eastAsia="Times New Roman" w:hAnsi="Times New Roman" w:cs="Times New Roman"/>
          <w:highlight w:val="yellow"/>
        </w:rPr>
        <w:t>vel para download na página de inscrição</w:t>
      </w:r>
    </w:p>
    <w:p w:rsidR="00CD4E59" w:rsidRDefault="00CD4E59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E59" w:rsidRDefault="00CD4E59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E59" w:rsidRDefault="006A40F4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Candidato: ________________________________________________________</w:t>
      </w:r>
    </w:p>
    <w:p w:rsidR="00CD4E59" w:rsidRDefault="006A40F4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Nível Pretendido: (  ) Mestrado  (  ) Doutorado</w:t>
      </w:r>
    </w:p>
    <w:p w:rsidR="00CD4E59" w:rsidRDefault="00CD4E59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6A40F4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Orientador principal ______________________________________________</w:t>
      </w:r>
    </w:p>
    <w:p w:rsidR="00CD4E59" w:rsidRDefault="006A40F4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Orie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ntador opcional: ______________________________________________</w:t>
      </w:r>
    </w:p>
    <w:p w:rsidR="00CD4E59" w:rsidRDefault="006A40F4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para a escolha da área/orientador: 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:rsidR="00CD4E59" w:rsidRDefault="00CD4E59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CD4E59">
      <w:pPr>
        <w:spacing w:after="1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6A40F4">
      <w:pPr>
        <w:spacing w:after="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Experiência Profissional</w:t>
      </w:r>
    </w:p>
    <w:p w:rsidR="00CD4E59" w:rsidRDefault="00CD4E59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825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3781"/>
        <w:gridCol w:w="3230"/>
        <w:gridCol w:w="2814"/>
      </w:tblGrid>
      <w:tr w:rsidR="00CD4E59">
        <w:trPr>
          <w:trHeight w:val="28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Pontuações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Valores Obtidos</w:t>
            </w:r>
          </w:p>
        </w:tc>
      </w:tr>
      <w:tr w:rsidR="00CD4E59">
        <w:trPr>
          <w:trHeight w:val="237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Estágio</w:t>
            </w: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Fitopatologia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horas = 1 ponto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Limite máximo 10 pontos</w:t>
            </w: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áreas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horas = 0,7 pontos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Iniciação Científica</w:t>
            </w: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Fitopatologia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1,5 pontos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áreas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1,0 ponto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Bolsa no Programa PET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1,0 ponto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Bolsa de Aperfeiçoamento</w:t>
            </w: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Fitopatologia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2,0 pontos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áreas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1,5 pontos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25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Monitoria</w:t>
            </w: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Fitopatologia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0,6 pontos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áreas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semestre = 0,4 pontos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45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-46981705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Cursos (≥ 20 horas) na área de Fitopatologia e ou Fitossanidade</w:t>
                </w:r>
              </w:sdtContent>
            </w:sdt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 pontos por curso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Reunião Científica, Encontro e Semana Científica na área de Fitopatologia e ou Fitossanidade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 pontos por evento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Congresso, Simpósio e Workshop na área de Fitopatologia e ou Fitossanidade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 pontos por evento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E59" w:rsidRDefault="006A40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 pontos obtidos por cada candidato serão somados e atribuída uma nota de 0 (zero) a 10 (dez) proporcionalmente à pontuação máxima (dez) equivalente à nota </w:t>
      </w:r>
      <w:r>
        <w:rPr>
          <w:rFonts w:ascii="Times New Roman" w:eastAsia="Times New Roman" w:hAnsi="Times New Roman" w:cs="Times New Roman"/>
          <w:sz w:val="20"/>
          <w:szCs w:val="20"/>
        </w:rPr>
        <w:t>do candidato que obteve a maior pontuação.</w:t>
      </w:r>
    </w:p>
    <w:p w:rsidR="00CD4E59" w:rsidRDefault="00CD4E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E59" w:rsidRDefault="00CD4E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E59" w:rsidRDefault="00CD4E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E59" w:rsidRDefault="006A40F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Produção Científica</w:t>
      </w:r>
    </w:p>
    <w:p w:rsidR="00CD4E59" w:rsidRDefault="00CD4E59">
      <w:pPr>
        <w:spacing w:after="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4"/>
        <w:tblW w:w="9820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4486"/>
        <w:gridCol w:w="2715"/>
        <w:gridCol w:w="2619"/>
      </w:tblGrid>
      <w:tr w:rsidR="00CD4E59">
        <w:trPr>
          <w:trHeight w:val="281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Pontuações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Valores Obtidos</w:t>
            </w:r>
          </w:p>
        </w:tc>
      </w:tr>
      <w:tr w:rsidR="00CD4E59">
        <w:trPr>
          <w:trHeight w:val="42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 como primeiro 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 pontos por resumo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Limite máximo 8 pontos</w:t>
            </w:r>
          </w:p>
        </w:tc>
      </w:tr>
      <w:tr w:rsidR="00CD4E59">
        <w:trPr>
          <w:trHeight w:val="47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 como co-autor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 pontos por resumo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Limite máximo 2 pontos</w:t>
            </w: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publicado em periódico nacional como primeiro 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 pontos por artigo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publicado em periódico nacional como co-autor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pontos por artigo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publicado em periódico internacional como primeiro 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 pontos por artigo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publicado em periódico internacional como co-autor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 pontos por artigo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 Científica/Comunicação/Short Communication/First Report como primeiro 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pontos por publicação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 Científica/Comunicação/Short Communication/First Report como co-autor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 pontos por publicação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Comunicado Técnico como primeiro 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 pontos por Comunicado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Comunicado Técnico como co-autor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 pontos por Comunicado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 de livro como primeiro 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 pontos por Capítulo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E59">
        <w:trPr>
          <w:trHeight w:val="23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 de livro como co-autor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6A4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 pontos por Capítulo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9" w:rsidRDefault="00CD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E59" w:rsidRDefault="006A40F4">
      <w:pPr>
        <w:spacing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 pontos obtidos por cada candidato serão somados e atribuída uma nota de 0 (zero) a 10 (dez) proporcionalmente à pontuação máxima (d</w:t>
      </w:r>
      <w:r>
        <w:rPr>
          <w:rFonts w:ascii="Times New Roman" w:eastAsia="Times New Roman" w:hAnsi="Times New Roman" w:cs="Times New Roman"/>
          <w:sz w:val="20"/>
          <w:szCs w:val="20"/>
        </w:rPr>
        <w:t>ez) equivalente à nota do candidato que obteve a maior pontuação.</w:t>
      </w:r>
    </w:p>
    <w:p w:rsidR="00CD4E59" w:rsidRDefault="00CD4E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59" w:rsidRDefault="00CD4E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4E59" w:rsidRDefault="00CD4E5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4E59">
      <w:headerReference w:type="first" r:id="rId9"/>
      <w:pgSz w:w="11909" w:h="16834"/>
      <w:pgMar w:top="637" w:right="1140" w:bottom="1440" w:left="992" w:header="2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F4" w:rsidRDefault="006A40F4">
      <w:pPr>
        <w:spacing w:line="240" w:lineRule="auto"/>
      </w:pPr>
      <w:r>
        <w:separator/>
      </w:r>
    </w:p>
  </w:endnote>
  <w:endnote w:type="continuationSeparator" w:id="0">
    <w:p w:rsidR="006A40F4" w:rsidRDefault="006A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F4" w:rsidRDefault="006A40F4">
      <w:pPr>
        <w:spacing w:line="240" w:lineRule="auto"/>
      </w:pPr>
      <w:r>
        <w:separator/>
      </w:r>
    </w:p>
  </w:footnote>
  <w:footnote w:type="continuationSeparator" w:id="0">
    <w:p w:rsidR="006A40F4" w:rsidRDefault="006A4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59" w:rsidRDefault="00184F48">
    <w:r>
      <w:rPr>
        <w:rFonts w:ascii="Times New Roman" w:eastAsia="Times New Roman" w:hAnsi="Times New Roman" w:cs="Times New Roman"/>
        <w:b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15A4"/>
    <w:multiLevelType w:val="multilevel"/>
    <w:tmpl w:val="E73C6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2D4392"/>
    <w:multiLevelType w:val="multilevel"/>
    <w:tmpl w:val="EEE8C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D2590E"/>
    <w:multiLevelType w:val="multilevel"/>
    <w:tmpl w:val="4EE4F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9"/>
    <w:rsid w:val="00184F48"/>
    <w:rsid w:val="006A40F4"/>
    <w:rsid w:val="00C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ED4DE"/>
  <w15:docId w15:val="{241E7F20-0F94-4C89-8B02-D1C069F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593"/>
    <w:rPr>
      <w:b/>
      <w:bCs/>
      <w:sz w:val="20"/>
      <w:szCs w:val="20"/>
    </w:r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f8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f9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a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b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c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d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e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f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f0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f1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f2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f3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table" w:customStyle="1" w:styleId="aff4">
    <w:basedOn w:val="Tabelanormal"/>
    <w:pPr>
      <w:spacing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  <w:tcPr>
      <w:shd w:val="clear" w:color="auto" w:fill="CED7E7"/>
    </w:tcPr>
  </w:style>
  <w:style w:type="paragraph" w:styleId="Cabealho">
    <w:name w:val="header"/>
    <w:basedOn w:val="Normal"/>
    <w:link w:val="CabealhoChar"/>
    <w:uiPriority w:val="99"/>
    <w:unhideWhenUsed/>
    <w:rsid w:val="0018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F48"/>
  </w:style>
  <w:style w:type="paragraph" w:styleId="Rodap">
    <w:name w:val="footer"/>
    <w:basedOn w:val="Normal"/>
    <w:link w:val="RodapChar"/>
    <w:uiPriority w:val="99"/>
    <w:unhideWhenUsed/>
    <w:rsid w:val="0018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kFLEblz+7tOwMZyZxuDsTSoAQQ==">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Ferreira Alfenas</dc:creator>
  <cp:lastModifiedBy>usuario</cp:lastModifiedBy>
  <cp:revision>2</cp:revision>
  <dcterms:created xsi:type="dcterms:W3CDTF">2021-09-13T14:30:00Z</dcterms:created>
  <dcterms:modified xsi:type="dcterms:W3CDTF">2023-04-25T19:03:00Z</dcterms:modified>
</cp:coreProperties>
</file>